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cs="Arial Unicode MS" w:asciiTheme="majorEastAsia" w:hAnsiTheme="majorEastAsia" w:eastAsiaTheme="majorEastAsia"/>
          <w:b/>
          <w:kern w:val="0"/>
          <w:sz w:val="30"/>
          <w:szCs w:val="30"/>
        </w:rPr>
      </w:pPr>
      <w:bookmarkStart w:id="0" w:name="_GoBack"/>
      <w:r>
        <w:rPr>
          <w:rFonts w:hint="eastAsia" w:cs="Arial Unicode MS" w:asciiTheme="majorEastAsia" w:hAnsiTheme="majorEastAsia" w:eastAsiaTheme="majorEastAsia"/>
          <w:b/>
          <w:kern w:val="0"/>
          <w:sz w:val="30"/>
          <w:szCs w:val="30"/>
        </w:rPr>
        <w:t>湖南省法学会财税法学研究会</w:t>
      </w:r>
      <w:r>
        <w:rPr>
          <w:rFonts w:cs="Arial Unicode MS" w:asciiTheme="majorEastAsia" w:hAnsiTheme="majorEastAsia" w:eastAsiaTheme="majorEastAsia"/>
          <w:b/>
          <w:kern w:val="0"/>
          <w:sz w:val="30"/>
          <w:szCs w:val="30"/>
        </w:rPr>
        <w:t>201</w:t>
      </w:r>
      <w:r>
        <w:rPr>
          <w:rFonts w:hint="eastAsia" w:cs="Arial Unicode MS" w:asciiTheme="majorEastAsia" w:hAnsiTheme="majorEastAsia" w:eastAsiaTheme="majorEastAsia"/>
          <w:b/>
          <w:kern w:val="0"/>
          <w:sz w:val="30"/>
          <w:szCs w:val="30"/>
        </w:rPr>
        <w:t>9年学术年会</w:t>
      </w:r>
    </w:p>
    <w:p>
      <w:pPr>
        <w:autoSpaceDE w:val="0"/>
        <w:autoSpaceDN w:val="0"/>
        <w:adjustRightInd w:val="0"/>
        <w:jc w:val="center"/>
        <w:rPr>
          <w:rFonts w:cs="华文楷体" w:asciiTheme="majorEastAsia" w:hAnsiTheme="majorEastAsia" w:eastAsiaTheme="majorEastAsia"/>
          <w:b/>
          <w:kern w:val="0"/>
          <w:sz w:val="30"/>
          <w:szCs w:val="30"/>
        </w:rPr>
      </w:pPr>
      <w:r>
        <w:rPr>
          <w:rFonts w:hint="eastAsia" w:cs="华文楷体" w:asciiTheme="majorEastAsia" w:hAnsiTheme="majorEastAsia" w:eastAsiaTheme="majorEastAsia"/>
          <w:b/>
          <w:kern w:val="0"/>
          <w:sz w:val="30"/>
          <w:szCs w:val="30"/>
        </w:rPr>
        <w:t>会议回执</w:t>
      </w:r>
    </w:p>
    <w:bookmarkEnd w:id="0"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30" w:type="dxa"/>
          </w:tcPr>
          <w:p>
            <w:pPr>
              <w:spacing w:line="500" w:lineRule="exact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华文楷体" w:asciiTheme="majorEastAsia" w:hAnsiTheme="majorEastAsia" w:eastAsiaTheme="maj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130" w:type="dxa"/>
          </w:tcPr>
          <w:p>
            <w:pPr>
              <w:spacing w:line="500" w:lineRule="exact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500" w:lineRule="exact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华文楷体" w:asciiTheme="majorEastAsia" w:hAnsiTheme="majorEastAsia" w:eastAsiaTheme="major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131" w:type="dxa"/>
          </w:tcPr>
          <w:p>
            <w:pPr>
              <w:spacing w:line="500" w:lineRule="exact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00" w:lineRule="exact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华文楷体" w:asciiTheme="majorEastAsia" w:hAnsiTheme="majorEastAsia" w:eastAsiaTheme="majorEastAsia"/>
                <w:kern w:val="0"/>
                <w:sz w:val="24"/>
                <w:szCs w:val="24"/>
              </w:rPr>
              <w:t>是否发</w:t>
            </w:r>
            <w:r>
              <w:rPr>
                <w:rFonts w:hint="eastAsia" w:cs="Meiryo" w:asciiTheme="majorEastAsia" w:hAnsiTheme="majorEastAsia" w:eastAsiaTheme="majorEastAsia"/>
                <w:kern w:val="0"/>
                <w:sz w:val="24"/>
                <w:szCs w:val="24"/>
              </w:rPr>
              <w:t>言</w:t>
            </w:r>
            <w:r>
              <w:rPr>
                <w:rFonts w:cs="华文楷体" w:asciiTheme="majorEastAsia" w:hAnsiTheme="majorEastAsia" w:eastAsiaTheme="majorEastAsia"/>
                <w:kern w:val="0"/>
                <w:sz w:val="24"/>
                <w:szCs w:val="24"/>
              </w:rPr>
              <w:t>/</w:t>
            </w:r>
            <w:r>
              <w:rPr>
                <w:rFonts w:hint="eastAsia" w:cs="华文楷体" w:asciiTheme="majorEastAsia" w:hAnsiTheme="majorEastAsia" w:eastAsiaTheme="majorEastAsia"/>
                <w:kern w:val="0"/>
                <w:sz w:val="24"/>
                <w:szCs w:val="24"/>
              </w:rPr>
              <w:t>题目</w:t>
            </w:r>
          </w:p>
        </w:tc>
        <w:tc>
          <w:tcPr>
            <w:tcW w:w="6392" w:type="dxa"/>
            <w:gridSpan w:val="3"/>
          </w:tcPr>
          <w:p>
            <w:pPr>
              <w:spacing w:line="500" w:lineRule="exact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00" w:lineRule="exact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Meiryo" w:asciiTheme="majorEastAsia" w:hAnsiTheme="majorEastAsia" w:eastAsiaTheme="majorEastAsia"/>
                <w:kern w:val="0"/>
                <w:sz w:val="24"/>
                <w:szCs w:val="24"/>
              </w:rPr>
              <w:t>⼯</w:t>
            </w:r>
            <w:r>
              <w:rPr>
                <w:rFonts w:hint="eastAsia" w:cs="Arial Unicode MS" w:asciiTheme="majorEastAsia" w:hAnsiTheme="majorEastAsia" w:eastAsiaTheme="majorEastAsia"/>
                <w:kern w:val="0"/>
                <w:sz w:val="24"/>
                <w:szCs w:val="24"/>
              </w:rPr>
              <w:t>作单位</w:t>
            </w:r>
          </w:p>
        </w:tc>
        <w:tc>
          <w:tcPr>
            <w:tcW w:w="2130" w:type="dxa"/>
          </w:tcPr>
          <w:p>
            <w:pPr>
              <w:spacing w:line="500" w:lineRule="exact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500" w:lineRule="exact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华文楷体" w:asciiTheme="majorEastAsia" w:hAnsiTheme="majorEastAsia" w:eastAsiaTheme="majorEastAsia"/>
                <w:kern w:val="0"/>
                <w:sz w:val="24"/>
                <w:szCs w:val="24"/>
              </w:rPr>
              <w:t>职称</w:t>
            </w:r>
            <w:r>
              <w:rPr>
                <w:rFonts w:cs="华文楷体" w:asciiTheme="majorEastAsia" w:hAnsiTheme="majorEastAsia" w:eastAsiaTheme="majorEastAsia"/>
                <w:kern w:val="0"/>
                <w:sz w:val="24"/>
                <w:szCs w:val="24"/>
              </w:rPr>
              <w:t>/</w:t>
            </w:r>
            <w:r>
              <w:rPr>
                <w:rFonts w:hint="eastAsia" w:cs="华文楷体" w:asciiTheme="majorEastAsia" w:hAnsiTheme="majorEastAsia" w:eastAsiaTheme="major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2131" w:type="dxa"/>
          </w:tcPr>
          <w:p>
            <w:pPr>
              <w:spacing w:line="500" w:lineRule="exact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00" w:lineRule="exact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华文楷体" w:asciiTheme="majorEastAsia" w:hAnsiTheme="majorEastAsia" w:eastAsiaTheme="majorEastAsia"/>
                <w:kern w:val="0"/>
                <w:sz w:val="24"/>
                <w:szCs w:val="24"/>
              </w:rPr>
              <w:t>电</w:t>
            </w:r>
            <w:r>
              <w:rPr>
                <w:rFonts w:hint="eastAsia" w:cs="Meiryo" w:asciiTheme="majorEastAsia" w:hAnsiTheme="majorEastAsia" w:eastAsiaTheme="majorEastAsia"/>
                <w:kern w:val="0"/>
                <w:sz w:val="24"/>
                <w:szCs w:val="24"/>
              </w:rPr>
              <w:t>⼦</w:t>
            </w:r>
            <w:r>
              <w:rPr>
                <w:rFonts w:hint="eastAsia" w:cs="Arial Unicode MS" w:asciiTheme="majorEastAsia" w:hAnsiTheme="majorEastAsia" w:eastAsiaTheme="majorEastAsia"/>
                <w:kern w:val="0"/>
                <w:sz w:val="24"/>
                <w:szCs w:val="24"/>
              </w:rPr>
              <w:t>邮件</w:t>
            </w:r>
          </w:p>
        </w:tc>
        <w:tc>
          <w:tcPr>
            <w:tcW w:w="2130" w:type="dxa"/>
          </w:tcPr>
          <w:p>
            <w:pPr>
              <w:spacing w:line="500" w:lineRule="exact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500" w:lineRule="exact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华文楷体" w:asciiTheme="majorEastAsia" w:hAnsiTheme="majorEastAsia" w:eastAsiaTheme="majorEastAsia"/>
                <w:kern w:val="0"/>
                <w:sz w:val="24"/>
                <w:szCs w:val="24"/>
              </w:rPr>
              <w:t>电话（</w:t>
            </w:r>
            <w:r>
              <w:rPr>
                <w:rFonts w:hint="eastAsia" w:cs="Meiryo" w:asciiTheme="majorEastAsia" w:hAnsiTheme="majorEastAsia" w:eastAsiaTheme="majorEastAsia"/>
                <w:kern w:val="0"/>
                <w:sz w:val="24"/>
                <w:szCs w:val="24"/>
              </w:rPr>
              <w:t>⼿</w:t>
            </w:r>
            <w:r>
              <w:rPr>
                <w:rFonts w:hint="eastAsia" w:cs="Arial Unicode MS" w:asciiTheme="majorEastAsia" w:hAnsiTheme="majorEastAsia" w:eastAsiaTheme="majorEastAsia"/>
                <w:kern w:val="0"/>
                <w:sz w:val="24"/>
                <w:szCs w:val="24"/>
              </w:rPr>
              <w:t>机）</w:t>
            </w:r>
          </w:p>
        </w:tc>
        <w:tc>
          <w:tcPr>
            <w:tcW w:w="2131" w:type="dxa"/>
          </w:tcPr>
          <w:p>
            <w:pPr>
              <w:spacing w:line="500" w:lineRule="exact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240" w:lineRule="exact"/>
        <w:jc w:val="left"/>
        <w:rPr>
          <w:rFonts w:hint="eastAsia" w:cs="Arial Unicode MS" w:asciiTheme="minorEastAsia" w:hAnsiTheme="minorEastAsia"/>
          <w:kern w:val="0"/>
          <w:szCs w:val="21"/>
        </w:rPr>
      </w:pPr>
    </w:p>
    <w:p>
      <w:pPr>
        <w:autoSpaceDE w:val="0"/>
        <w:autoSpaceDN w:val="0"/>
        <w:adjustRightInd w:val="0"/>
        <w:spacing w:line="240" w:lineRule="exact"/>
        <w:jc w:val="left"/>
        <w:rPr>
          <w:rFonts w:hint="eastAsia" w:cs="Arial Unicode MS" w:asciiTheme="minorEastAsia" w:hAnsiTheme="minorEastAsia"/>
          <w:kern w:val="0"/>
          <w:szCs w:val="21"/>
        </w:rPr>
      </w:pPr>
    </w:p>
    <w:p>
      <w:pPr>
        <w:autoSpaceDE w:val="0"/>
        <w:autoSpaceDN w:val="0"/>
        <w:adjustRightInd w:val="0"/>
        <w:spacing w:line="240" w:lineRule="exact"/>
        <w:jc w:val="left"/>
        <w:rPr>
          <w:rFonts w:hint="eastAsia" w:cs="Arial Unicode MS" w:asciiTheme="minorEastAsia" w:hAnsiTheme="minorEastAsia"/>
          <w:kern w:val="0"/>
          <w:szCs w:val="21"/>
        </w:rPr>
      </w:pPr>
    </w:p>
    <w:p>
      <w:pPr>
        <w:autoSpaceDE w:val="0"/>
        <w:autoSpaceDN w:val="0"/>
        <w:adjustRightInd w:val="0"/>
        <w:spacing w:line="240" w:lineRule="exact"/>
        <w:jc w:val="left"/>
        <w:rPr>
          <w:rFonts w:hint="eastAsia" w:cs="Arial Unicode MS" w:asciiTheme="minorEastAsia" w:hAnsiTheme="minorEastAsia"/>
          <w:kern w:val="0"/>
          <w:szCs w:val="21"/>
        </w:rPr>
      </w:pPr>
    </w:p>
    <w:p>
      <w:pPr>
        <w:autoSpaceDE w:val="0"/>
        <w:autoSpaceDN w:val="0"/>
        <w:adjustRightInd w:val="0"/>
        <w:spacing w:line="240" w:lineRule="exact"/>
        <w:jc w:val="left"/>
        <w:rPr>
          <w:rFonts w:hint="eastAsia" w:cs="Arial Unicode MS" w:asciiTheme="minorEastAsia" w:hAnsiTheme="minorEastAsia"/>
          <w:kern w:val="0"/>
          <w:szCs w:val="21"/>
        </w:rPr>
      </w:pPr>
      <w:r>
        <w:rPr>
          <w:rFonts w:hint="eastAsia" w:cs="Arial Unicode MS" w:asciiTheme="minorEastAsia" w:hAnsiTheme="minorEastAsia"/>
          <w:kern w:val="0"/>
          <w:szCs w:val="21"/>
        </w:rPr>
        <w:t>说明：请于</w:t>
      </w:r>
      <w:r>
        <w:rPr>
          <w:rFonts w:cs="Arial Unicode MS" w:asciiTheme="minorEastAsia" w:hAnsiTheme="minorEastAsia"/>
          <w:kern w:val="0"/>
          <w:szCs w:val="21"/>
        </w:rPr>
        <w:t>201</w:t>
      </w:r>
      <w:r>
        <w:rPr>
          <w:rFonts w:hint="eastAsia" w:cs="Arial Unicode MS" w:asciiTheme="minorEastAsia" w:hAnsiTheme="minorEastAsia"/>
          <w:kern w:val="0"/>
          <w:szCs w:val="21"/>
        </w:rPr>
        <w:t>9年</w:t>
      </w:r>
      <w:r>
        <w:rPr>
          <w:rFonts w:cs="Arial Unicode MS" w:asciiTheme="minorEastAsia" w:hAnsiTheme="minorEastAsia"/>
          <w:kern w:val="0"/>
          <w:szCs w:val="21"/>
        </w:rPr>
        <w:t>1</w:t>
      </w:r>
      <w:r>
        <w:rPr>
          <w:rFonts w:hint="eastAsia" w:cs="Arial Unicode MS" w:asciiTheme="minorEastAsia" w:hAnsiTheme="minorEastAsia"/>
          <w:kern w:val="0"/>
          <w:szCs w:val="21"/>
        </w:rPr>
        <w:t>1月</w:t>
      </w:r>
      <w:r>
        <w:rPr>
          <w:rFonts w:cs="Arial Unicode MS" w:asciiTheme="minorEastAsia" w:hAnsiTheme="minorEastAsia"/>
          <w:kern w:val="0"/>
          <w:szCs w:val="21"/>
        </w:rPr>
        <w:t>1</w:t>
      </w:r>
      <w:r>
        <w:rPr>
          <w:rFonts w:hint="eastAsia" w:cs="Arial Unicode MS" w:asciiTheme="minorEastAsia" w:hAnsiTheme="minorEastAsia"/>
          <w:kern w:val="0"/>
          <w:szCs w:val="21"/>
        </w:rPr>
        <w:t>5日前将回执电子版与论文一并发给财税法学研究会邮箱：</w:t>
      </w:r>
      <w:r>
        <w:fldChar w:fldCharType="begin"/>
      </w:r>
      <w:r>
        <w:instrText xml:space="preserve"> HYPERLINK "mailto:hncsfx@126.com" </w:instrText>
      </w:r>
      <w:r>
        <w:fldChar w:fldCharType="separate"/>
      </w:r>
      <w:r>
        <w:rPr>
          <w:rStyle w:val="5"/>
          <w:rFonts w:hint="eastAsia" w:asciiTheme="minorEastAsia" w:hAnsiTheme="minorEastAsia"/>
          <w:sz w:val="24"/>
          <w:szCs w:val="24"/>
        </w:rPr>
        <w:t>hncsfx@126.com</w:t>
      </w:r>
      <w:r>
        <w:rPr>
          <w:rStyle w:val="5"/>
          <w:rFonts w:hint="eastAsia" w:asciiTheme="minorEastAsia" w:hAnsiTheme="minorEastAsia"/>
          <w:sz w:val="24"/>
          <w:szCs w:val="24"/>
        </w:rPr>
        <w:fldChar w:fldCharType="end"/>
      </w:r>
      <w:r>
        <w:rPr>
          <w:rFonts w:hint="eastAsia" w:cs="Arial Unicode MS" w:asciiTheme="minorEastAsia" w:hAnsiTheme="minorEastAsia"/>
          <w:kern w:val="0"/>
          <w:szCs w:val="21"/>
        </w:rPr>
        <w:t>.</w:t>
      </w:r>
    </w:p>
    <w:p>
      <w:pPr>
        <w:autoSpaceDE w:val="0"/>
        <w:autoSpaceDN w:val="0"/>
        <w:adjustRightInd w:val="0"/>
        <w:spacing w:line="240" w:lineRule="exact"/>
        <w:jc w:val="left"/>
        <w:rPr>
          <w:rFonts w:cs="Arial Unicode MS" w:asciiTheme="minorEastAsia" w:hAnsiTheme="minorEastAsia"/>
          <w:kern w:val="0"/>
          <w:szCs w:val="21"/>
        </w:rPr>
      </w:pPr>
    </w:p>
    <w:p>
      <w:pPr>
        <w:autoSpaceDE w:val="0"/>
        <w:autoSpaceDN w:val="0"/>
        <w:adjustRightInd w:val="0"/>
        <w:spacing w:line="240" w:lineRule="exact"/>
        <w:jc w:val="left"/>
        <w:rPr>
          <w:rFonts w:cs="Arial Unicode MS" w:asciiTheme="minorEastAsia" w:hAnsiTheme="minorEastAsia"/>
          <w:kern w:val="0"/>
          <w:szCs w:val="21"/>
        </w:rPr>
      </w:pPr>
    </w:p>
    <w:p>
      <w:pPr>
        <w:autoSpaceDE w:val="0"/>
        <w:autoSpaceDN w:val="0"/>
        <w:adjustRightInd w:val="0"/>
        <w:spacing w:line="240" w:lineRule="exact"/>
        <w:jc w:val="left"/>
        <w:rPr>
          <w:rFonts w:cs="Arial Unicode MS" w:asciiTheme="minorEastAsia" w:hAnsiTheme="minorEastAsia"/>
          <w:kern w:val="0"/>
          <w:szCs w:val="21"/>
        </w:rPr>
      </w:pPr>
    </w:p>
    <w:p>
      <w:pPr>
        <w:autoSpaceDE w:val="0"/>
        <w:autoSpaceDN w:val="0"/>
        <w:adjustRightInd w:val="0"/>
        <w:spacing w:line="240" w:lineRule="exact"/>
        <w:jc w:val="left"/>
        <w:rPr>
          <w:rFonts w:cs="Arial Unicode MS" w:asciiTheme="minorEastAsia" w:hAnsiTheme="minorEastAsia"/>
          <w:kern w:val="0"/>
          <w:szCs w:val="21"/>
        </w:rPr>
      </w:pPr>
    </w:p>
    <w:p>
      <w:pPr>
        <w:autoSpaceDE w:val="0"/>
        <w:autoSpaceDN w:val="0"/>
        <w:adjustRightInd w:val="0"/>
        <w:spacing w:line="240" w:lineRule="exact"/>
        <w:jc w:val="left"/>
        <w:rPr>
          <w:rFonts w:cs="Arial Unicode MS" w:asciiTheme="minorEastAsia" w:hAnsiTheme="minorEastAsia"/>
          <w:kern w:val="0"/>
          <w:szCs w:val="21"/>
        </w:rPr>
      </w:pPr>
    </w:p>
    <w:p>
      <w:pPr>
        <w:autoSpaceDE w:val="0"/>
        <w:autoSpaceDN w:val="0"/>
        <w:adjustRightInd w:val="0"/>
        <w:spacing w:line="240" w:lineRule="exact"/>
        <w:jc w:val="left"/>
        <w:rPr>
          <w:rFonts w:cs="Arial Unicode MS" w:asciiTheme="minorEastAsia" w:hAnsiTheme="minorEastAsia"/>
          <w:kern w:val="0"/>
          <w:szCs w:val="21"/>
        </w:rPr>
      </w:pPr>
    </w:p>
    <w:p>
      <w:pPr>
        <w:autoSpaceDE w:val="0"/>
        <w:autoSpaceDN w:val="0"/>
        <w:adjustRightInd w:val="0"/>
        <w:spacing w:line="240" w:lineRule="exact"/>
        <w:jc w:val="left"/>
        <w:rPr>
          <w:rFonts w:cs="Arial Unicode MS" w:asciiTheme="minorEastAsia" w:hAnsiTheme="minorEastAsia"/>
          <w:kern w:val="0"/>
          <w:szCs w:val="21"/>
        </w:rPr>
      </w:pPr>
    </w:p>
    <w:p>
      <w:pPr>
        <w:autoSpaceDE w:val="0"/>
        <w:autoSpaceDN w:val="0"/>
        <w:adjustRightInd w:val="0"/>
        <w:spacing w:line="240" w:lineRule="exact"/>
        <w:jc w:val="left"/>
        <w:rPr>
          <w:rFonts w:cs="Arial Unicode MS" w:asciiTheme="minorEastAsia" w:hAnsiTheme="minorEastAsia"/>
          <w:kern w:val="0"/>
          <w:szCs w:val="21"/>
        </w:rPr>
      </w:pPr>
    </w:p>
    <w:p>
      <w:pPr>
        <w:autoSpaceDE w:val="0"/>
        <w:autoSpaceDN w:val="0"/>
        <w:adjustRightInd w:val="0"/>
        <w:spacing w:line="240" w:lineRule="exact"/>
        <w:jc w:val="left"/>
        <w:rPr>
          <w:rFonts w:cs="Arial Unicode MS" w:asciiTheme="minorEastAsia" w:hAnsiTheme="minorEastAsia"/>
          <w:kern w:val="0"/>
          <w:szCs w:val="21"/>
        </w:rPr>
      </w:pPr>
    </w:p>
    <w:p>
      <w:pPr>
        <w:autoSpaceDE w:val="0"/>
        <w:autoSpaceDN w:val="0"/>
        <w:adjustRightInd w:val="0"/>
        <w:spacing w:line="240" w:lineRule="exact"/>
        <w:jc w:val="left"/>
        <w:rPr>
          <w:rFonts w:cs="Arial Unicode MS" w:asciiTheme="minorEastAsia" w:hAnsiTheme="minorEastAsia"/>
          <w:kern w:val="0"/>
          <w:szCs w:val="21"/>
        </w:rPr>
      </w:pPr>
    </w:p>
    <w:p>
      <w:pPr>
        <w:autoSpaceDE w:val="0"/>
        <w:autoSpaceDN w:val="0"/>
        <w:adjustRightInd w:val="0"/>
        <w:spacing w:line="240" w:lineRule="exact"/>
        <w:jc w:val="left"/>
        <w:rPr>
          <w:rFonts w:cs="Arial Unicode MS" w:asciiTheme="minorEastAsia" w:hAnsiTheme="minorEastAsia"/>
          <w:kern w:val="0"/>
          <w:szCs w:val="21"/>
        </w:rPr>
      </w:pPr>
    </w:p>
    <w:p>
      <w:pPr>
        <w:autoSpaceDE w:val="0"/>
        <w:autoSpaceDN w:val="0"/>
        <w:adjustRightInd w:val="0"/>
        <w:spacing w:line="240" w:lineRule="exact"/>
        <w:jc w:val="left"/>
        <w:rPr>
          <w:rFonts w:cs="Arial Unicode MS" w:asciiTheme="minorEastAsia" w:hAnsiTheme="minorEastAsia"/>
          <w:kern w:val="0"/>
          <w:szCs w:val="21"/>
        </w:rPr>
      </w:pPr>
    </w:p>
    <w:p>
      <w:pPr>
        <w:autoSpaceDE w:val="0"/>
        <w:autoSpaceDN w:val="0"/>
        <w:adjustRightInd w:val="0"/>
        <w:spacing w:line="240" w:lineRule="exact"/>
        <w:jc w:val="left"/>
        <w:rPr>
          <w:rFonts w:cs="Arial Unicode MS" w:asciiTheme="minorEastAsia" w:hAnsiTheme="minorEastAsia"/>
          <w:kern w:val="0"/>
          <w:szCs w:val="21"/>
        </w:rPr>
      </w:pPr>
    </w:p>
    <w:p>
      <w:pPr>
        <w:autoSpaceDE w:val="0"/>
        <w:autoSpaceDN w:val="0"/>
        <w:adjustRightInd w:val="0"/>
        <w:spacing w:line="240" w:lineRule="exact"/>
        <w:jc w:val="left"/>
        <w:rPr>
          <w:rFonts w:cs="Arial Unicode MS" w:asciiTheme="minorEastAsia" w:hAnsiTheme="minorEastAsia"/>
          <w:kern w:val="0"/>
          <w:szCs w:val="21"/>
        </w:rPr>
      </w:pPr>
    </w:p>
    <w:p>
      <w:pPr>
        <w:autoSpaceDE w:val="0"/>
        <w:autoSpaceDN w:val="0"/>
        <w:adjustRightInd w:val="0"/>
        <w:spacing w:line="240" w:lineRule="exact"/>
        <w:jc w:val="left"/>
        <w:rPr>
          <w:rFonts w:cs="Arial Unicode MS" w:asciiTheme="minorEastAsia" w:hAnsiTheme="minorEastAsia"/>
          <w:kern w:val="0"/>
          <w:szCs w:val="21"/>
        </w:rPr>
      </w:pPr>
    </w:p>
    <w:p>
      <w:pPr>
        <w:autoSpaceDE w:val="0"/>
        <w:autoSpaceDN w:val="0"/>
        <w:adjustRightInd w:val="0"/>
        <w:spacing w:line="240" w:lineRule="exact"/>
        <w:jc w:val="left"/>
        <w:rPr>
          <w:rFonts w:cs="Arial Unicode MS" w:asciiTheme="minorEastAsia" w:hAnsiTheme="minorEastAsia"/>
          <w:kern w:val="0"/>
          <w:szCs w:val="21"/>
        </w:rPr>
      </w:pPr>
    </w:p>
    <w:p>
      <w:pPr>
        <w:autoSpaceDE w:val="0"/>
        <w:autoSpaceDN w:val="0"/>
        <w:adjustRightInd w:val="0"/>
        <w:spacing w:line="240" w:lineRule="exact"/>
        <w:jc w:val="left"/>
        <w:rPr>
          <w:rFonts w:cs="Arial Unicode MS" w:asciiTheme="minorEastAsia" w:hAnsiTheme="minorEastAsia"/>
          <w:kern w:val="0"/>
          <w:szCs w:val="21"/>
        </w:rPr>
      </w:pPr>
    </w:p>
    <w:p>
      <w:pPr>
        <w:autoSpaceDE w:val="0"/>
        <w:autoSpaceDN w:val="0"/>
        <w:adjustRightInd w:val="0"/>
        <w:spacing w:line="240" w:lineRule="exact"/>
        <w:jc w:val="left"/>
        <w:rPr>
          <w:rFonts w:cs="Arial Unicode MS" w:asciiTheme="minorEastAsia" w:hAnsiTheme="minorEastAsia"/>
          <w:kern w:val="0"/>
          <w:szCs w:val="21"/>
        </w:rPr>
      </w:pPr>
    </w:p>
    <w:p>
      <w:pPr>
        <w:autoSpaceDE w:val="0"/>
        <w:autoSpaceDN w:val="0"/>
        <w:adjustRightInd w:val="0"/>
        <w:spacing w:line="240" w:lineRule="exact"/>
        <w:jc w:val="left"/>
        <w:rPr>
          <w:rFonts w:cs="Arial Unicode MS" w:asciiTheme="minorEastAsia" w:hAnsiTheme="minorEastAsia"/>
          <w:kern w:val="0"/>
          <w:szCs w:val="21"/>
        </w:rPr>
      </w:pPr>
    </w:p>
    <w:p>
      <w:pPr>
        <w:autoSpaceDE w:val="0"/>
        <w:autoSpaceDN w:val="0"/>
        <w:adjustRightInd w:val="0"/>
        <w:spacing w:line="240" w:lineRule="exact"/>
        <w:jc w:val="left"/>
        <w:rPr>
          <w:rFonts w:cs="Arial Unicode MS" w:asciiTheme="minorEastAsia" w:hAnsiTheme="minorEastAsia"/>
          <w:kern w:val="0"/>
          <w:szCs w:val="21"/>
        </w:rPr>
      </w:pPr>
    </w:p>
    <w:p>
      <w:pPr>
        <w:autoSpaceDE w:val="0"/>
        <w:autoSpaceDN w:val="0"/>
        <w:adjustRightInd w:val="0"/>
        <w:spacing w:line="240" w:lineRule="exact"/>
        <w:jc w:val="left"/>
        <w:rPr>
          <w:rFonts w:cs="Arial Unicode MS" w:asciiTheme="minorEastAsia" w:hAnsiTheme="minorEastAsia"/>
          <w:kern w:val="0"/>
          <w:szCs w:val="21"/>
        </w:rPr>
      </w:pPr>
    </w:p>
    <w:p>
      <w:pPr>
        <w:autoSpaceDE w:val="0"/>
        <w:autoSpaceDN w:val="0"/>
        <w:adjustRightInd w:val="0"/>
        <w:spacing w:line="240" w:lineRule="exact"/>
        <w:jc w:val="left"/>
        <w:rPr>
          <w:rFonts w:cs="Arial Unicode MS" w:asciiTheme="minorEastAsia" w:hAnsiTheme="minorEastAsia"/>
          <w:kern w:val="0"/>
          <w:szCs w:val="21"/>
        </w:rPr>
      </w:pPr>
    </w:p>
    <w:p>
      <w:pPr>
        <w:autoSpaceDE w:val="0"/>
        <w:autoSpaceDN w:val="0"/>
        <w:adjustRightInd w:val="0"/>
        <w:spacing w:line="240" w:lineRule="exact"/>
        <w:jc w:val="left"/>
        <w:rPr>
          <w:rFonts w:cs="Arial Unicode MS" w:asciiTheme="minorEastAsia" w:hAnsiTheme="minorEastAsia"/>
          <w:kern w:val="0"/>
          <w:szCs w:val="21"/>
        </w:rPr>
      </w:pPr>
    </w:p>
    <w:p>
      <w:pPr>
        <w:autoSpaceDE w:val="0"/>
        <w:autoSpaceDN w:val="0"/>
        <w:adjustRightInd w:val="0"/>
        <w:spacing w:line="240" w:lineRule="exact"/>
        <w:jc w:val="left"/>
        <w:rPr>
          <w:rFonts w:cs="Arial Unicode MS" w:asciiTheme="minorEastAsia" w:hAnsiTheme="minorEastAsia"/>
          <w:kern w:val="0"/>
          <w:szCs w:val="21"/>
        </w:rPr>
      </w:pPr>
    </w:p>
    <w:p>
      <w:pPr>
        <w:autoSpaceDE w:val="0"/>
        <w:autoSpaceDN w:val="0"/>
        <w:adjustRightInd w:val="0"/>
        <w:spacing w:line="240" w:lineRule="exact"/>
        <w:jc w:val="left"/>
        <w:rPr>
          <w:rFonts w:cs="Arial Unicode MS" w:asciiTheme="minorEastAsia" w:hAnsiTheme="minorEastAsia"/>
          <w:kern w:val="0"/>
          <w:szCs w:val="21"/>
        </w:rPr>
      </w:pPr>
    </w:p>
    <w:p>
      <w:pPr>
        <w:autoSpaceDE w:val="0"/>
        <w:autoSpaceDN w:val="0"/>
        <w:adjustRightInd w:val="0"/>
        <w:spacing w:line="240" w:lineRule="exact"/>
        <w:jc w:val="left"/>
        <w:rPr>
          <w:rFonts w:cs="Arial Unicode MS" w:asciiTheme="minorEastAsia" w:hAnsiTheme="minorEastAsia"/>
          <w:kern w:val="0"/>
          <w:szCs w:val="21"/>
        </w:rPr>
      </w:pPr>
    </w:p>
    <w:p>
      <w:pPr>
        <w:autoSpaceDE w:val="0"/>
        <w:autoSpaceDN w:val="0"/>
        <w:adjustRightInd w:val="0"/>
        <w:spacing w:line="240" w:lineRule="exact"/>
        <w:jc w:val="left"/>
        <w:rPr>
          <w:rFonts w:cs="Arial Unicode MS" w:asciiTheme="minorEastAsia" w:hAnsiTheme="minorEastAsia"/>
          <w:kern w:val="0"/>
          <w:szCs w:val="21"/>
        </w:rPr>
      </w:pPr>
    </w:p>
    <w:p>
      <w:pPr>
        <w:autoSpaceDE w:val="0"/>
        <w:autoSpaceDN w:val="0"/>
        <w:adjustRightInd w:val="0"/>
        <w:spacing w:line="240" w:lineRule="exact"/>
        <w:jc w:val="left"/>
        <w:rPr>
          <w:rFonts w:cs="Arial Unicode MS" w:asciiTheme="minorEastAsia" w:hAnsiTheme="minorEastAsia"/>
          <w:kern w:val="0"/>
          <w:szCs w:val="21"/>
        </w:rPr>
      </w:pPr>
    </w:p>
    <w:p>
      <w:pPr>
        <w:autoSpaceDE w:val="0"/>
        <w:autoSpaceDN w:val="0"/>
        <w:adjustRightInd w:val="0"/>
        <w:spacing w:line="240" w:lineRule="exact"/>
        <w:jc w:val="left"/>
        <w:rPr>
          <w:rFonts w:cs="Arial Unicode MS" w:asciiTheme="minorEastAsia" w:hAnsiTheme="minorEastAsia"/>
          <w:kern w:val="0"/>
          <w:szCs w:val="21"/>
        </w:rPr>
      </w:pPr>
    </w:p>
    <w:p>
      <w:pPr>
        <w:autoSpaceDE w:val="0"/>
        <w:autoSpaceDN w:val="0"/>
        <w:adjustRightInd w:val="0"/>
        <w:spacing w:line="240" w:lineRule="exact"/>
        <w:jc w:val="left"/>
        <w:rPr>
          <w:rFonts w:cs="Arial Unicode MS" w:asciiTheme="minorEastAsia" w:hAnsiTheme="minorEastAsia"/>
          <w:kern w:val="0"/>
          <w:szCs w:val="21"/>
        </w:rPr>
      </w:pPr>
    </w:p>
    <w:p>
      <w:pPr>
        <w:autoSpaceDE w:val="0"/>
        <w:autoSpaceDN w:val="0"/>
        <w:adjustRightInd w:val="0"/>
        <w:spacing w:line="240" w:lineRule="exact"/>
        <w:jc w:val="left"/>
        <w:rPr>
          <w:rFonts w:cs="Arial Unicode MS" w:asciiTheme="minorEastAsia" w:hAnsiTheme="minorEastAsia"/>
          <w:kern w:val="0"/>
          <w:szCs w:val="21"/>
        </w:rPr>
      </w:pPr>
    </w:p>
    <w:p>
      <w:pPr>
        <w:autoSpaceDE w:val="0"/>
        <w:autoSpaceDN w:val="0"/>
        <w:adjustRightInd w:val="0"/>
        <w:spacing w:line="240" w:lineRule="exact"/>
        <w:jc w:val="left"/>
        <w:rPr>
          <w:rFonts w:cs="Arial Unicode MS" w:asciiTheme="minorEastAsia" w:hAnsiTheme="minorEastAsia"/>
          <w:kern w:val="0"/>
          <w:szCs w:val="21"/>
        </w:rPr>
      </w:pPr>
    </w:p>
    <w:p>
      <w:pPr>
        <w:autoSpaceDE w:val="0"/>
        <w:autoSpaceDN w:val="0"/>
        <w:adjustRightInd w:val="0"/>
        <w:spacing w:line="240" w:lineRule="exact"/>
        <w:jc w:val="left"/>
        <w:rPr>
          <w:rFonts w:cs="Arial Unicode MS" w:asciiTheme="minorEastAsia" w:hAnsiTheme="minorEastAsia"/>
          <w:kern w:val="0"/>
          <w:szCs w:val="21"/>
        </w:rPr>
      </w:pPr>
    </w:p>
    <w:p>
      <w:pPr>
        <w:autoSpaceDE w:val="0"/>
        <w:autoSpaceDN w:val="0"/>
        <w:adjustRightInd w:val="0"/>
        <w:spacing w:line="240" w:lineRule="exact"/>
        <w:jc w:val="left"/>
        <w:rPr>
          <w:rFonts w:cs="Arial Unicode MS" w:asciiTheme="minorEastAsia" w:hAnsiTheme="minorEastAsia"/>
          <w:kern w:val="0"/>
          <w:szCs w:val="21"/>
        </w:rPr>
      </w:pPr>
    </w:p>
    <w:p>
      <w:pPr>
        <w:autoSpaceDE w:val="0"/>
        <w:autoSpaceDN w:val="0"/>
        <w:adjustRightInd w:val="0"/>
        <w:spacing w:line="240" w:lineRule="exact"/>
        <w:jc w:val="left"/>
        <w:rPr>
          <w:rFonts w:cs="Arial Unicode MS" w:asciiTheme="minorEastAsia" w:hAnsiTheme="minorEastAsia"/>
          <w:kern w:val="0"/>
          <w:szCs w:val="21"/>
        </w:rPr>
      </w:pPr>
    </w:p>
    <w:p>
      <w:pPr>
        <w:spacing w:line="400" w:lineRule="exact"/>
        <w:ind w:left="72" w:leftChars="-67" w:hanging="213" w:hangingChars="59"/>
        <w:rPr>
          <w:rFonts w:asciiTheme="minorEastAsia" w:hAnsiTheme="minorEastAsia"/>
          <w:sz w:val="24"/>
          <w:szCs w:val="24"/>
        </w:rPr>
      </w:pP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1905</wp:posOffset>
                </wp:positionV>
                <wp:extent cx="5362575" cy="0"/>
                <wp:effectExtent l="0" t="13970" r="9525" b="2413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2575" cy="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1.25pt;margin-top:0.15pt;height:0pt;width:422.25pt;z-index:251659264;mso-width-relative:page;mso-height-relative:page;" o:connectortype="straight" filled="f" stroked="t" coordsize="21600,21600" o:gfxdata="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8x+EDSAAAABQEAAA8A&#10;AAAAAAAAAQAgAAAAIgAAAGRycy9kb3ducmV2LnhtbFBLAQIUABQAAAAIAIdO4kAaHnBH5AEAAJ8D&#10;AAAOAAAAAAAAAAEAIAAAACEBAABkcnMvZTJvRG9jLnhtbFBLBQYAAAAABgAGAFkBAAB3BQAAAAA=&#10;">
                <v:path arrowok="t"/>
                <v:fill on="f" focussize="0,0"/>
                <v:stroke weight="2.25pt" color="#FF0000"/>
                <v:imagedata o:title=""/>
                <o:lock v:ext="edit"/>
              </v:shape>
            </w:pict>
          </mc:Fallback>
        </mc:AlternateContent>
      </w:r>
      <w:r>
        <w:rPr>
          <w:rFonts w:hint="eastAsia" w:asciiTheme="minorEastAsia" w:hAnsiTheme="minorEastAsia"/>
          <w:sz w:val="24"/>
          <w:szCs w:val="24"/>
        </w:rPr>
        <w:t>地址：湖南省长沙市麓山南路932号（中南大学南校区文法楼）</w:t>
      </w:r>
    </w:p>
    <w:p>
      <w:pPr>
        <w:spacing w:line="400" w:lineRule="exact"/>
        <w:ind w:left="0" w:leftChars="-67" w:hanging="141" w:hangingChars="5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电话：0731-88660217                     邮编：410083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楷体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Meiryo">
    <w:panose1 w:val="020B0604030504040204"/>
    <w:charset w:val="80"/>
    <w:family w:val="swiss"/>
    <w:pitch w:val="default"/>
    <w:sig w:usb0="E10102FF" w:usb1="EAC7FFFF" w:usb2="0001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836E3"/>
    <w:rsid w:val="3D195BF8"/>
    <w:rsid w:val="4098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样式1"/>
    <w:basedOn w:val="1"/>
    <w:uiPriority w:val="0"/>
    <w:rPr>
      <w:rFonts w:asciiTheme="minorAscii" w:hAnsiTheme="minorAscii"/>
      <w:color w:val="auto"/>
      <w14:textFill>
        <w14:noFill/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2019-09-06T03:29:00Z</dcterms:created>
  <dc:creator>SUN-IS-HI</dc:creator>
  <cp:lastModifiedBy>SUN-IS-HI</cp:lastModifiedBy>
  <dcterms:modified xsi:type="dcterms:W3CDTF">2019-09-06T03:31:35Z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